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28" w:lineRule="atLeast"/>
        <w:ind w:left="0" w:right="0" w:firstLine="0"/>
        <w:jc w:val="center"/>
        <w:rPr>
          <w:rFonts w:hint="eastAsia" w:ascii="宋体" w:hAnsi="宋体" w:eastAsia="宋体" w:cs="宋体"/>
          <w:i w:val="0"/>
          <w:iCs w:val="0"/>
          <w:caps w:val="0"/>
          <w:color w:val="000000"/>
          <w:spacing w:val="0"/>
          <w:sz w:val="24"/>
          <w:szCs w:val="24"/>
        </w:rPr>
      </w:pPr>
      <w:r>
        <w:rPr>
          <w:rStyle w:val="7"/>
          <w:rFonts w:hint="eastAsia" w:ascii="方正小标宋简体" w:hAnsi="方正小标宋简体" w:eastAsia="方正小标宋简体" w:cs="方正小标宋简体"/>
          <w:i w:val="0"/>
          <w:iCs w:val="0"/>
          <w:caps w:val="0"/>
          <w:color w:val="000000"/>
          <w:spacing w:val="0"/>
          <w:sz w:val="32"/>
          <w:szCs w:val="32"/>
          <w:bdr w:val="none" w:color="auto" w:sz="0" w:space="0"/>
          <w:shd w:val="clear" w:fill="FFFFFF"/>
        </w:rPr>
        <w:t>关于开展贵州省首届智库研究“十大金策”申报工作的通知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28" w:lineRule="atLeast"/>
        <w:ind w:left="0" w:right="0" w:firstLine="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spacing w:line="360" w:lineRule="auto"/>
        <w:rPr>
          <w:rFonts w:hint="eastAsia"/>
          <w:sz w:val="24"/>
          <w:szCs w:val="32"/>
        </w:rPr>
      </w:pPr>
      <w:r>
        <w:rPr>
          <w:rFonts w:hint="eastAsia"/>
          <w:sz w:val="24"/>
          <w:szCs w:val="32"/>
        </w:rPr>
        <w:t>省社科联，省级新型智库：</w:t>
      </w:r>
    </w:p>
    <w:p>
      <w:pPr>
        <w:spacing w:line="360" w:lineRule="auto"/>
        <w:rPr>
          <w:rFonts w:hint="eastAsia"/>
          <w:sz w:val="24"/>
          <w:szCs w:val="32"/>
        </w:rPr>
      </w:pPr>
      <w:r>
        <w:rPr>
          <w:rFonts w:hint="eastAsia"/>
          <w:sz w:val="24"/>
          <w:szCs w:val="32"/>
        </w:rPr>
        <w:t>  为深入做好习近平总书记考察贵州时的重要讲话精神的研究阐释工作，经省委宣传部批准，决定面向省社科联和省级新型智库（以下简称智库）开展贵州省首届智库研究“十大金策”与优秀成果申报工作，现将有关事宜通知如下。</w:t>
      </w:r>
    </w:p>
    <w:p>
      <w:pPr>
        <w:spacing w:line="360" w:lineRule="auto"/>
        <w:rPr>
          <w:rFonts w:hint="eastAsia"/>
          <w:sz w:val="24"/>
          <w:szCs w:val="32"/>
        </w:rPr>
      </w:pPr>
      <w:r>
        <w:rPr>
          <w:rFonts w:hint="eastAsia"/>
          <w:sz w:val="24"/>
          <w:szCs w:val="32"/>
        </w:rPr>
        <w:t>  </w:t>
      </w:r>
      <w:r>
        <w:rPr>
          <w:rFonts w:hint="eastAsia"/>
          <w:b/>
          <w:bCs/>
          <w:sz w:val="24"/>
          <w:szCs w:val="32"/>
        </w:rPr>
        <w:t>一、总体要求</w:t>
      </w:r>
    </w:p>
    <w:p>
      <w:pPr>
        <w:spacing w:line="360" w:lineRule="auto"/>
        <w:rPr>
          <w:rFonts w:hint="eastAsia"/>
          <w:sz w:val="24"/>
          <w:szCs w:val="32"/>
        </w:rPr>
      </w:pPr>
      <w:r>
        <w:rPr>
          <w:rFonts w:hint="eastAsia"/>
          <w:sz w:val="24"/>
          <w:szCs w:val="32"/>
        </w:rPr>
        <w:t>  深入学习贯彻习近平总书记在贵州考察时的重要讲话精神，结合省委十三届七次全会安排部署，引导智库聚焦“国之大者”“省之大计”，推进智库研究更加经世致用，充分发挥智库服务党委、政府科学决策的“思想库”“智囊团”作用，推荐富有深刻洞见、独特创见和战略远见的优秀智库成果，积极发挥智库研究“十大金策”的示范和引导作用，推动更多优秀智库研究成果和人才脱颖而出，为在中国式现代化进程中展现贵州新风采作出智库贡献。</w:t>
      </w:r>
    </w:p>
    <w:p>
      <w:pPr>
        <w:spacing w:line="360" w:lineRule="auto"/>
        <w:rPr>
          <w:rFonts w:hint="eastAsia"/>
          <w:sz w:val="24"/>
          <w:szCs w:val="32"/>
        </w:rPr>
      </w:pPr>
      <w:r>
        <w:rPr>
          <w:rFonts w:hint="eastAsia"/>
          <w:sz w:val="24"/>
          <w:szCs w:val="32"/>
        </w:rPr>
        <w:t>  </w:t>
      </w:r>
      <w:r>
        <w:rPr>
          <w:rFonts w:hint="eastAsia"/>
          <w:b/>
          <w:bCs/>
          <w:sz w:val="24"/>
          <w:szCs w:val="32"/>
        </w:rPr>
        <w:t>二、推荐单位</w:t>
      </w:r>
    </w:p>
    <w:p>
      <w:pPr>
        <w:spacing w:line="360" w:lineRule="auto"/>
        <w:rPr>
          <w:rFonts w:hint="eastAsia"/>
          <w:sz w:val="24"/>
          <w:szCs w:val="32"/>
        </w:rPr>
      </w:pPr>
      <w:r>
        <w:rPr>
          <w:rFonts w:hint="eastAsia"/>
          <w:sz w:val="24"/>
          <w:szCs w:val="32"/>
        </w:rPr>
        <w:t>  省委宣传部批准的8家省级新型智库和省社科联（其他单位优秀成果，可通过省级新型智库或省社科联推荐申报）。</w:t>
      </w:r>
    </w:p>
    <w:p>
      <w:pPr>
        <w:spacing w:line="360" w:lineRule="auto"/>
        <w:rPr>
          <w:rFonts w:hint="eastAsia"/>
          <w:sz w:val="24"/>
          <w:szCs w:val="32"/>
        </w:rPr>
      </w:pPr>
      <w:r>
        <w:rPr>
          <w:rFonts w:hint="eastAsia"/>
          <w:sz w:val="24"/>
          <w:szCs w:val="32"/>
        </w:rPr>
        <w:t> </w:t>
      </w:r>
      <w:r>
        <w:rPr>
          <w:rFonts w:hint="eastAsia"/>
          <w:b/>
          <w:bCs/>
          <w:sz w:val="24"/>
          <w:szCs w:val="32"/>
        </w:rPr>
        <w:t> 三、研究方向</w:t>
      </w:r>
    </w:p>
    <w:p>
      <w:pPr>
        <w:spacing w:line="360" w:lineRule="auto"/>
        <w:rPr>
          <w:rFonts w:hint="eastAsia"/>
          <w:sz w:val="24"/>
          <w:szCs w:val="32"/>
        </w:rPr>
      </w:pPr>
      <w:r>
        <w:rPr>
          <w:rFonts w:hint="eastAsia"/>
          <w:sz w:val="24"/>
          <w:szCs w:val="32"/>
        </w:rPr>
        <w:t>  由省社科联和省级新型智库组织研究人员聚焦33个重点研究方向【</w:t>
      </w:r>
      <w:r>
        <w:rPr>
          <w:rFonts w:hint="eastAsia"/>
          <w:color w:val="0000FF"/>
          <w:sz w:val="24"/>
          <w:szCs w:val="32"/>
        </w:rPr>
        <w:t>具体请参考《关于印发&lt;习近平总书记考察贵州重要讲话精神研究阐释方案&gt;的通知》（黔宣领办发〔2025〕3号）</w:t>
      </w:r>
      <w:r>
        <w:rPr>
          <w:rFonts w:hint="eastAsia"/>
          <w:sz w:val="24"/>
          <w:szCs w:val="32"/>
        </w:rPr>
        <w:t>】和贵州省委十三届七次全会部署近期重点工作，确定选题，拟写高质量的咨政报告。</w:t>
      </w:r>
    </w:p>
    <w:p>
      <w:pPr>
        <w:spacing w:line="360" w:lineRule="auto"/>
        <w:rPr>
          <w:rFonts w:hint="eastAsia"/>
          <w:sz w:val="24"/>
          <w:szCs w:val="32"/>
        </w:rPr>
      </w:pPr>
      <w:r>
        <w:rPr>
          <w:rFonts w:hint="eastAsia"/>
          <w:sz w:val="24"/>
          <w:szCs w:val="32"/>
        </w:rPr>
        <w:t> </w:t>
      </w:r>
      <w:r>
        <w:rPr>
          <w:rFonts w:hint="eastAsia"/>
          <w:b/>
          <w:bCs/>
          <w:sz w:val="24"/>
          <w:szCs w:val="32"/>
        </w:rPr>
        <w:t> 四、研究要求</w:t>
      </w:r>
    </w:p>
    <w:p>
      <w:pPr>
        <w:spacing w:line="360" w:lineRule="auto"/>
        <w:rPr>
          <w:rFonts w:hint="eastAsia"/>
          <w:sz w:val="24"/>
          <w:szCs w:val="32"/>
        </w:rPr>
      </w:pPr>
      <w:r>
        <w:rPr>
          <w:rFonts w:hint="eastAsia"/>
          <w:sz w:val="24"/>
          <w:szCs w:val="32"/>
        </w:rPr>
        <w:t>  （一）以“大视野”着眼。以进入全国第一方阵乃至全国前列为目标，从我省发展现状出发，与全国一流作比较，总结经验，分析不足，提出具有针对性、可操作性的对策建议。</w:t>
      </w:r>
    </w:p>
    <w:p>
      <w:pPr>
        <w:spacing w:line="360" w:lineRule="auto"/>
        <w:rPr>
          <w:rFonts w:hint="eastAsia"/>
          <w:sz w:val="24"/>
          <w:szCs w:val="32"/>
        </w:rPr>
      </w:pPr>
      <w:r>
        <w:rPr>
          <w:rFonts w:hint="eastAsia"/>
          <w:sz w:val="24"/>
          <w:szCs w:val="32"/>
        </w:rPr>
        <w:t>  （二）向“真问题”发力。以问题为导向、以实效为牵引，聚焦我省高质量发展的关键点、亟待突破的瓶颈点、长期以来的制约点开展研究。</w:t>
      </w:r>
    </w:p>
    <w:p>
      <w:pPr>
        <w:spacing w:line="360" w:lineRule="auto"/>
        <w:rPr>
          <w:rFonts w:hint="eastAsia"/>
          <w:sz w:val="24"/>
          <w:szCs w:val="32"/>
        </w:rPr>
      </w:pPr>
      <w:r>
        <w:rPr>
          <w:rFonts w:hint="eastAsia"/>
          <w:sz w:val="24"/>
          <w:szCs w:val="32"/>
        </w:rPr>
        <w:t>  （三）从“小切口”入手。坚持大处着眼、小处着手，立足于实、深、效，采用“解剖麻雀”的方式，广泛开展田野调查、走访调研，积极运用大数据等现代信息手段，力求以“一个问题”解剖，推动“一类问题”的解决。</w:t>
      </w:r>
    </w:p>
    <w:p>
      <w:pPr>
        <w:spacing w:line="360" w:lineRule="auto"/>
        <w:rPr>
          <w:rFonts w:hint="eastAsia"/>
          <w:sz w:val="24"/>
          <w:szCs w:val="32"/>
        </w:rPr>
      </w:pPr>
      <w:r>
        <w:rPr>
          <w:rFonts w:hint="eastAsia"/>
          <w:sz w:val="24"/>
          <w:szCs w:val="32"/>
        </w:rPr>
        <w:t> </w:t>
      </w:r>
      <w:r>
        <w:rPr>
          <w:rFonts w:hint="eastAsia"/>
          <w:b/>
          <w:bCs/>
          <w:sz w:val="24"/>
          <w:szCs w:val="32"/>
        </w:rPr>
        <w:t> 五、成果形式和时间</w:t>
      </w:r>
    </w:p>
    <w:p>
      <w:pPr>
        <w:spacing w:line="360" w:lineRule="auto"/>
        <w:rPr>
          <w:rFonts w:hint="eastAsia"/>
          <w:sz w:val="24"/>
          <w:szCs w:val="32"/>
        </w:rPr>
      </w:pPr>
      <w:r>
        <w:rPr>
          <w:rFonts w:hint="eastAsia"/>
          <w:sz w:val="24"/>
          <w:szCs w:val="32"/>
        </w:rPr>
        <w:t>  （一）研究成果。咨政报告1篇，5000字左右，为最新原创稿件，无知识产权争议。咨政报告要坚持经世致用，突出问题导向，内容具体翔实、针对性强，注重运用新案例、新数据，注重与先进地区的比较分析，所提建议具体明确、切实管用、语言精练，不讲大话、空话、套话。</w:t>
      </w:r>
    </w:p>
    <w:p>
      <w:pPr>
        <w:spacing w:line="360" w:lineRule="auto"/>
        <w:rPr>
          <w:rFonts w:hint="eastAsia"/>
          <w:sz w:val="24"/>
          <w:szCs w:val="32"/>
        </w:rPr>
      </w:pPr>
      <w:r>
        <w:rPr>
          <w:rFonts w:hint="eastAsia"/>
          <w:sz w:val="24"/>
          <w:szCs w:val="32"/>
        </w:rPr>
        <w:t>  （二）证明材料。申报时，须附上省部级（含）以上领导肯定性批示、转化运用情况以及获奖情况等证明材料。经验做法、典型案例、数据分析、问卷调查、访谈情况等可作为附件。附件能体现研究过程的，同等条件下优先。</w:t>
      </w:r>
    </w:p>
    <w:p>
      <w:pPr>
        <w:spacing w:line="360" w:lineRule="auto"/>
        <w:rPr>
          <w:rFonts w:hint="eastAsia"/>
          <w:sz w:val="24"/>
          <w:szCs w:val="32"/>
        </w:rPr>
      </w:pPr>
      <w:r>
        <w:rPr>
          <w:rFonts w:hint="eastAsia"/>
          <w:sz w:val="24"/>
          <w:szCs w:val="32"/>
        </w:rPr>
        <w:t>  （三）成果时间。2025年3月17日—2025年10月31日</w:t>
      </w:r>
    </w:p>
    <w:p>
      <w:pPr>
        <w:spacing w:line="360" w:lineRule="auto"/>
        <w:rPr>
          <w:rFonts w:hint="eastAsia"/>
          <w:sz w:val="24"/>
          <w:szCs w:val="32"/>
        </w:rPr>
      </w:pPr>
      <w:r>
        <w:rPr>
          <w:rFonts w:hint="eastAsia"/>
          <w:sz w:val="24"/>
          <w:szCs w:val="32"/>
        </w:rPr>
        <w:t>  </w:t>
      </w:r>
      <w:r>
        <w:rPr>
          <w:rFonts w:hint="eastAsia"/>
          <w:b/>
          <w:bCs/>
          <w:sz w:val="24"/>
          <w:szCs w:val="32"/>
        </w:rPr>
        <w:t>六、申报和遴选</w:t>
      </w:r>
    </w:p>
    <w:p>
      <w:pPr>
        <w:spacing w:line="360" w:lineRule="auto"/>
        <w:rPr>
          <w:rFonts w:hint="eastAsia"/>
          <w:sz w:val="24"/>
          <w:szCs w:val="32"/>
        </w:rPr>
      </w:pPr>
      <w:r>
        <w:rPr>
          <w:rFonts w:hint="eastAsia"/>
          <w:sz w:val="24"/>
          <w:szCs w:val="32"/>
        </w:rPr>
        <w:t>  （一）申报基本条件。咨政报告至少获得省部级领导肯定性批示，咨政报告转化运用成效大小作为衡量成果质量的重要标准。其中，肯定性批示认定范围须满足以下条件之一：</w:t>
      </w:r>
    </w:p>
    <w:p>
      <w:pPr>
        <w:spacing w:line="360" w:lineRule="auto"/>
        <w:rPr>
          <w:rFonts w:hint="eastAsia"/>
          <w:sz w:val="24"/>
          <w:szCs w:val="32"/>
        </w:rPr>
      </w:pPr>
      <w:r>
        <w:rPr>
          <w:rFonts w:hint="eastAsia"/>
          <w:sz w:val="24"/>
          <w:szCs w:val="32"/>
        </w:rPr>
        <w:t>  1.党和国家领导人肯定性批示；</w:t>
      </w:r>
    </w:p>
    <w:p>
      <w:pPr>
        <w:spacing w:line="360" w:lineRule="auto"/>
        <w:rPr>
          <w:rFonts w:hint="eastAsia"/>
          <w:sz w:val="24"/>
          <w:szCs w:val="32"/>
        </w:rPr>
      </w:pPr>
      <w:r>
        <w:rPr>
          <w:rFonts w:hint="eastAsia"/>
          <w:sz w:val="24"/>
          <w:szCs w:val="32"/>
        </w:rPr>
        <w:t>  2.贵州省委、省政府主要领导肯定性批示；</w:t>
      </w:r>
    </w:p>
    <w:p>
      <w:pPr>
        <w:spacing w:line="360" w:lineRule="auto"/>
        <w:rPr>
          <w:rFonts w:hint="eastAsia"/>
          <w:sz w:val="24"/>
          <w:szCs w:val="32"/>
        </w:rPr>
      </w:pPr>
      <w:r>
        <w:rPr>
          <w:rFonts w:hint="eastAsia"/>
          <w:sz w:val="24"/>
          <w:szCs w:val="32"/>
        </w:rPr>
        <w:t>  3.贵州省委、省政府分管领导肯定性批示。</w:t>
      </w:r>
    </w:p>
    <w:p>
      <w:pPr>
        <w:spacing w:line="360" w:lineRule="auto"/>
        <w:rPr>
          <w:rFonts w:hint="eastAsia"/>
          <w:sz w:val="24"/>
          <w:szCs w:val="32"/>
        </w:rPr>
      </w:pPr>
      <w:r>
        <w:rPr>
          <w:rFonts w:hint="eastAsia"/>
          <w:sz w:val="24"/>
          <w:szCs w:val="32"/>
        </w:rPr>
        <w:t>  （二）成果立项，立项即结项。对评为“十大金策”的研究成果，予以贵州省哲学社会科学规划重点课题立项；对被评为优秀成果的研</w:t>
      </w:r>
      <w:bookmarkStart w:id="0" w:name="_GoBack"/>
      <w:bookmarkEnd w:id="0"/>
      <w:r>
        <w:rPr>
          <w:rFonts w:hint="eastAsia"/>
          <w:sz w:val="24"/>
          <w:szCs w:val="32"/>
        </w:rPr>
        <w:t>究成果，予以贵州省哲学社会科学规划一般课题立项。同时，通报表扬“十大金策”和优秀成果，并颁发省社科规划课题结项证书。</w:t>
      </w:r>
    </w:p>
    <w:p>
      <w:pPr>
        <w:spacing w:line="360" w:lineRule="auto"/>
        <w:rPr>
          <w:rFonts w:hint="eastAsia"/>
          <w:sz w:val="24"/>
          <w:szCs w:val="32"/>
        </w:rPr>
      </w:pPr>
      <w:r>
        <w:rPr>
          <w:rFonts w:hint="eastAsia"/>
          <w:sz w:val="24"/>
          <w:szCs w:val="32"/>
        </w:rPr>
        <w:t>  （三）经费资助。课题立项资助经费由责任单位、省级新型智库（《贵州咨政》编辑部）、申请人共同商量确定，原则上资助金额不得超过同一年度贵州省社科规划年度课题资助标准。</w:t>
      </w:r>
    </w:p>
    <w:p>
      <w:pPr>
        <w:spacing w:line="360" w:lineRule="auto"/>
        <w:rPr>
          <w:rFonts w:hint="eastAsia"/>
          <w:b/>
          <w:bCs/>
          <w:sz w:val="24"/>
          <w:szCs w:val="32"/>
        </w:rPr>
      </w:pPr>
      <w:r>
        <w:rPr>
          <w:rFonts w:hint="eastAsia"/>
          <w:b/>
          <w:bCs/>
          <w:sz w:val="24"/>
          <w:szCs w:val="32"/>
        </w:rPr>
        <w:t>  七、申报限定</w:t>
      </w:r>
    </w:p>
    <w:p>
      <w:pPr>
        <w:spacing w:line="360" w:lineRule="auto"/>
        <w:rPr>
          <w:rFonts w:hint="eastAsia"/>
          <w:sz w:val="24"/>
          <w:szCs w:val="32"/>
        </w:rPr>
      </w:pPr>
      <w:r>
        <w:rPr>
          <w:rFonts w:hint="eastAsia"/>
          <w:sz w:val="24"/>
          <w:szCs w:val="32"/>
        </w:rPr>
        <w:t>  为避免一题多报、交叉申请和重复立项，特对本次遴选工作作如下限定：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rPr>
        <w:t>（一）每个受理单位（省社科联、8家省级新型智库）推荐“十大金策”的研究成果不得超过5项。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sz w:val="24"/>
          <w:szCs w:val="32"/>
        </w:rPr>
        <w:t>（二） 已经获得省部级以上（含）课题或项目资助的研究成果，不得参与本次遴选工作。</w:t>
      </w:r>
    </w:p>
    <w:p>
      <w:pPr>
        <w:spacing w:line="360" w:lineRule="auto"/>
        <w:rPr>
          <w:rFonts w:hint="eastAsia"/>
          <w:sz w:val="24"/>
          <w:szCs w:val="32"/>
        </w:rPr>
      </w:pPr>
      <w:r>
        <w:rPr>
          <w:rFonts w:hint="eastAsia"/>
          <w:sz w:val="24"/>
          <w:szCs w:val="32"/>
        </w:rPr>
        <w:t>  （三）省级新型智库的研究成果，应在显著位置标注“省委宣传部批准的省级新型智库全称”方可参与遴选工作；通过省社科联《贵州咨政》渠道推荐的研究成果，须清晰标注负责人工作单位。</w:t>
      </w:r>
    </w:p>
    <w:p>
      <w:pPr>
        <w:spacing w:line="360" w:lineRule="auto"/>
        <w:rPr>
          <w:rFonts w:hint="eastAsia"/>
          <w:sz w:val="24"/>
          <w:szCs w:val="32"/>
        </w:rPr>
      </w:pPr>
      <w:r>
        <w:rPr>
          <w:rFonts w:hint="eastAsia"/>
          <w:sz w:val="24"/>
          <w:szCs w:val="32"/>
        </w:rPr>
        <w:t>  （四）本届遴选工作，负责人只能提交一项研究成果，参与者最多参与两项研究成果。</w:t>
      </w:r>
    </w:p>
    <w:p>
      <w:pPr>
        <w:spacing w:line="360" w:lineRule="auto"/>
        <w:rPr>
          <w:rFonts w:hint="eastAsia"/>
          <w:sz w:val="24"/>
          <w:szCs w:val="32"/>
        </w:rPr>
      </w:pPr>
      <w:r>
        <w:rPr>
          <w:rFonts w:hint="eastAsia"/>
          <w:sz w:val="24"/>
          <w:szCs w:val="32"/>
        </w:rPr>
        <w:t>  （五）凡在内容上与在研或已结项的各级各类项目（课题）有较大关联的，须在附件中详细说明所申请项目与已承担项目（课题）的联系和区别，否则视为重复申请。</w:t>
      </w:r>
    </w:p>
    <w:p>
      <w:pPr>
        <w:spacing w:line="360" w:lineRule="auto"/>
        <w:rPr>
          <w:rFonts w:hint="eastAsia"/>
          <w:sz w:val="24"/>
          <w:szCs w:val="32"/>
        </w:rPr>
      </w:pPr>
      <w:r>
        <w:rPr>
          <w:rFonts w:hint="eastAsia"/>
          <w:sz w:val="24"/>
          <w:szCs w:val="32"/>
        </w:rPr>
        <w:t>  （六）2020年10月31日以来被撤项处理的或2022年10月31日以来被终止处理的国家社科基金项目或省社科规划课题负责人，申报不予受理。</w:t>
      </w:r>
    </w:p>
    <w:p>
      <w:pPr>
        <w:spacing w:line="360" w:lineRule="auto"/>
        <w:rPr>
          <w:rFonts w:hint="eastAsia"/>
          <w:sz w:val="24"/>
          <w:szCs w:val="32"/>
        </w:rPr>
      </w:pPr>
      <w:r>
        <w:rPr>
          <w:rFonts w:hint="eastAsia"/>
          <w:sz w:val="24"/>
          <w:szCs w:val="32"/>
        </w:rPr>
        <w:t>  </w:t>
      </w:r>
      <w:r>
        <w:rPr>
          <w:rFonts w:hint="eastAsia"/>
          <w:b/>
          <w:bCs/>
          <w:sz w:val="24"/>
          <w:szCs w:val="32"/>
        </w:rPr>
        <w:t>八、申报安排</w:t>
      </w:r>
    </w:p>
    <w:p>
      <w:pPr>
        <w:spacing w:line="360" w:lineRule="auto"/>
        <w:rPr>
          <w:rFonts w:hint="eastAsia"/>
          <w:sz w:val="24"/>
          <w:szCs w:val="32"/>
        </w:rPr>
      </w:pPr>
      <w:r>
        <w:rPr>
          <w:rFonts w:hint="eastAsia"/>
          <w:sz w:val="24"/>
          <w:szCs w:val="32"/>
        </w:rPr>
        <w:t>  （一）受理时间。集中在11月4日和11月5日两天，逾期不予受理。</w:t>
      </w:r>
    </w:p>
    <w:p>
      <w:pPr>
        <w:spacing w:line="360" w:lineRule="auto"/>
        <w:rPr>
          <w:rFonts w:hint="eastAsia"/>
          <w:sz w:val="24"/>
          <w:szCs w:val="32"/>
        </w:rPr>
      </w:pPr>
      <w:r>
        <w:rPr>
          <w:rFonts w:hint="eastAsia"/>
          <w:sz w:val="24"/>
          <w:szCs w:val="32"/>
        </w:rPr>
        <w:t>  （二）申报地点。贵州省贵阳市南明区广顺路1号中共贵州省委宣传部社科规划办1113室。</w:t>
      </w:r>
    </w:p>
    <w:p>
      <w:pPr>
        <w:spacing w:line="360" w:lineRule="auto"/>
        <w:rPr>
          <w:rFonts w:hint="eastAsia"/>
          <w:sz w:val="24"/>
          <w:szCs w:val="32"/>
        </w:rPr>
      </w:pPr>
      <w:r>
        <w:rPr>
          <w:rFonts w:hint="eastAsia"/>
          <w:sz w:val="24"/>
          <w:szCs w:val="32"/>
        </w:rPr>
        <w:t>  （三）申报时需提交以下材料：</w:t>
      </w:r>
    </w:p>
    <w:p>
      <w:pPr>
        <w:spacing w:line="360" w:lineRule="auto"/>
        <w:rPr>
          <w:rFonts w:hint="eastAsia"/>
          <w:sz w:val="24"/>
          <w:szCs w:val="32"/>
        </w:rPr>
      </w:pPr>
      <w:r>
        <w:rPr>
          <w:rFonts w:hint="eastAsia"/>
          <w:sz w:val="24"/>
          <w:szCs w:val="32"/>
        </w:rPr>
        <w:t>  1.纸质材料。提交6份《贵州省首届智库研究“十大金策”推荐表》（以下简称《推荐表》）和5份《贵州省首届智库研究“十大金策”评审表》（以下简称《评审表》），《贵州省首届智库研究“十大金策”申报信息汇总表》（责任单位盖章）（以下简称《汇总表》）1份；参评成果、肯定性批示及转化运用成效等印证材料装订成册（一式6份）。</w:t>
      </w:r>
    </w:p>
    <w:p>
      <w:pPr>
        <w:spacing w:line="360" w:lineRule="auto"/>
        <w:rPr>
          <w:rFonts w:hint="eastAsia"/>
          <w:sz w:val="24"/>
          <w:szCs w:val="32"/>
        </w:rPr>
      </w:pPr>
      <w:r>
        <w:rPr>
          <w:rFonts w:hint="eastAsia"/>
          <w:sz w:val="24"/>
          <w:szCs w:val="32"/>
        </w:rPr>
        <w:t>  2.电子材料。提交《推荐表》《评审表》和《汇总表》电子版（以省社科联或智库名称命名建立文件夹，内含以“申请人姓名+成果名称”命名的WORD文件格式《推荐表》《评审表》、EXCEL文件格式的《汇总表》，以及PDF格式的参评成果、肯定性批示及转化运用成效等印证材料）。</w:t>
      </w:r>
    </w:p>
    <w:p>
      <w:pPr>
        <w:spacing w:line="360" w:lineRule="auto"/>
        <w:rPr>
          <w:rFonts w:hint="eastAsia"/>
          <w:sz w:val="24"/>
          <w:szCs w:val="32"/>
        </w:rPr>
      </w:pPr>
      <w:r>
        <w:rPr>
          <w:rFonts w:hint="eastAsia"/>
          <w:sz w:val="24"/>
          <w:szCs w:val="32"/>
        </w:rPr>
        <w:t>  （四）材料要求。纸质材料和电子材料相关信息必须保持一致。电子材料请使用DVD刻盘随纸质材料一并报送。</w:t>
      </w:r>
    </w:p>
    <w:p>
      <w:pPr>
        <w:spacing w:line="360" w:lineRule="auto"/>
        <w:rPr>
          <w:rFonts w:hint="eastAsia"/>
          <w:sz w:val="24"/>
          <w:szCs w:val="32"/>
        </w:rPr>
      </w:pPr>
      <w:r>
        <w:rPr>
          <w:rFonts w:hint="eastAsia"/>
          <w:sz w:val="24"/>
          <w:szCs w:val="32"/>
        </w:rPr>
        <w:t>  （五）填写装订。《推荐表》《评审表》一律用计算机填写，A3纸，双面打印，中缝装订。</w:t>
      </w:r>
    </w:p>
    <w:p>
      <w:pPr>
        <w:spacing w:line="360" w:lineRule="auto"/>
        <w:rPr>
          <w:rFonts w:hint="eastAsia"/>
          <w:sz w:val="24"/>
          <w:szCs w:val="32"/>
        </w:rPr>
      </w:pPr>
      <w:r>
        <w:rPr>
          <w:rFonts w:hint="eastAsia"/>
          <w:sz w:val="24"/>
          <w:szCs w:val="32"/>
        </w:rPr>
        <w:t>  </w:t>
      </w:r>
      <w:r>
        <w:rPr>
          <w:rFonts w:hint="eastAsia"/>
          <w:b/>
          <w:bCs/>
          <w:sz w:val="24"/>
          <w:szCs w:val="32"/>
        </w:rPr>
        <w:t>九、其他约定</w:t>
      </w:r>
    </w:p>
    <w:p>
      <w:pPr>
        <w:spacing w:line="360" w:lineRule="auto"/>
        <w:rPr>
          <w:rFonts w:hint="eastAsia"/>
          <w:sz w:val="24"/>
          <w:szCs w:val="32"/>
        </w:rPr>
      </w:pPr>
      <w:r>
        <w:rPr>
          <w:rFonts w:hint="eastAsia"/>
          <w:sz w:val="24"/>
          <w:szCs w:val="32"/>
        </w:rPr>
        <w:t>  （一）负责人须如实填写材料，保证无知识产权争议，不得有违背科研诚信要求等行为。推荐单位须对研究成果、证明材料等严格审核把关。</w:t>
      </w:r>
    </w:p>
    <w:p>
      <w:pPr>
        <w:spacing w:line="360" w:lineRule="auto"/>
        <w:rPr>
          <w:rFonts w:hint="eastAsia"/>
          <w:sz w:val="24"/>
          <w:szCs w:val="32"/>
        </w:rPr>
      </w:pPr>
      <w:r>
        <w:rPr>
          <w:rFonts w:hint="eastAsia"/>
          <w:sz w:val="24"/>
          <w:szCs w:val="32"/>
        </w:rPr>
        <w:t>  （二）推荐单位和负责人须认真贯彻落实《关于进一步加强科研诚信建设的若干意见》。凡存在弄虚作假、抄袭剽窃等行为的，一经发现查实，取消负责人5年申报资格，如获立项即予撤项并公开通报。凡在本次申报遴选和评审过程中发现违规违纪行为的，除按规定作出处理外，均列入不良科研信用记录。</w:t>
      </w:r>
    </w:p>
    <w:p>
      <w:pPr>
        <w:spacing w:line="360" w:lineRule="auto"/>
        <w:rPr>
          <w:rFonts w:hint="eastAsia"/>
          <w:sz w:val="24"/>
          <w:szCs w:val="32"/>
        </w:rPr>
      </w:pPr>
      <w:r>
        <w:rPr>
          <w:rFonts w:hint="eastAsia"/>
          <w:sz w:val="24"/>
          <w:szCs w:val="32"/>
        </w:rPr>
        <w:t>  （三）遴选申报活动有关材料，如省部级领导以上（含）肯定性批示、《推荐表》《评审表》《汇总表》等，不得通过互联网传送。</w:t>
      </w:r>
    </w:p>
    <w:p>
      <w:pPr>
        <w:spacing w:line="360" w:lineRule="auto"/>
        <w:rPr>
          <w:rFonts w:hint="eastAsia"/>
          <w:sz w:val="24"/>
          <w:szCs w:val="32"/>
        </w:rPr>
      </w:pPr>
      <w:r>
        <w:rPr>
          <w:rFonts w:hint="eastAsia"/>
          <w:sz w:val="24"/>
          <w:szCs w:val="32"/>
        </w:rPr>
        <w:t>  （四）省社科规划办不直接受理个人申报，申报须通过省委宣传部批准的8家省级新型智库和省社科联《贵州咨政》编辑部受理。受理责任单位要加强对申报工作的组织和指导，严格按规定做好申报信息审核工作，并确保数据的真实性、完整性和一致性。</w:t>
      </w:r>
    </w:p>
    <w:p>
      <w:pPr>
        <w:spacing w:line="360" w:lineRule="auto"/>
        <w:rPr>
          <w:rFonts w:hint="eastAsia"/>
          <w:sz w:val="24"/>
          <w:szCs w:val="32"/>
        </w:rPr>
      </w:pPr>
      <w:r>
        <w:rPr>
          <w:rFonts w:hint="eastAsia"/>
          <w:sz w:val="24"/>
          <w:szCs w:val="32"/>
        </w:rPr>
        <w:t>  （五）本通知未尽事宜，按《贵州省哲学社会科学规划课题管理办法》《贵州省新型智库建设管理办法（修订）》等有关文件规定执行，本通知解释权归省社科规划办所有。</w:t>
      </w:r>
    </w:p>
    <w:p>
      <w:pPr>
        <w:spacing w:line="360" w:lineRule="auto"/>
        <w:rPr>
          <w:rFonts w:hint="eastAsia"/>
          <w:sz w:val="24"/>
          <w:szCs w:val="32"/>
        </w:rPr>
      </w:pPr>
      <w:r>
        <w:rPr>
          <w:rFonts w:hint="eastAsia"/>
          <w:sz w:val="24"/>
          <w:szCs w:val="32"/>
        </w:rPr>
        <w:t>  附件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sz w:val="24"/>
          <w:szCs w:val="32"/>
        </w:rPr>
      </w:pPr>
      <w:r>
        <w:rPr>
          <w:rFonts w:hint="eastAsia" w:ascii="楷体" w:hAnsi="楷体" w:eastAsia="楷体" w:cs="楷体"/>
          <w:sz w:val="24"/>
          <w:szCs w:val="32"/>
        </w:rPr>
        <w:fldChar w:fldCharType="begin"/>
      </w:r>
      <w:r>
        <w:rPr>
          <w:rFonts w:hint="eastAsia" w:ascii="楷体" w:hAnsi="楷体" w:eastAsia="楷体" w:cs="楷体"/>
          <w:sz w:val="24"/>
          <w:szCs w:val="32"/>
        </w:rPr>
        <w:instrText xml:space="preserve"> HYPERLINK "https://file.todcy.cn/visit/files/gzxc/2025/06/docx/cba0eb38adc88e55af59ea062f8d923e/1335054124974112/cba0eb38adc88e55af59ea062f8d923e_31302.docx" </w:instrText>
      </w:r>
      <w:r>
        <w:rPr>
          <w:rFonts w:hint="eastAsia" w:ascii="楷体" w:hAnsi="楷体" w:eastAsia="楷体" w:cs="楷体"/>
          <w:sz w:val="24"/>
          <w:szCs w:val="32"/>
        </w:rPr>
        <w:fldChar w:fldCharType="separate"/>
      </w:r>
      <w:r>
        <w:rPr>
          <w:rFonts w:hint="eastAsia" w:ascii="楷体" w:hAnsi="楷体" w:eastAsia="楷体" w:cs="楷体"/>
          <w:sz w:val="24"/>
          <w:szCs w:val="32"/>
        </w:rPr>
        <w:t>1.贵州省首届智库研究“十大金策”推荐表.docx</w:t>
      </w:r>
      <w:r>
        <w:rPr>
          <w:rFonts w:hint="eastAsia" w:ascii="楷体" w:hAnsi="楷体" w:eastAsia="楷体" w:cs="楷体"/>
          <w:sz w:val="24"/>
          <w:szCs w:val="32"/>
        </w:rPr>
        <w:fldChar w:fldCharType="end"/>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sz w:val="24"/>
          <w:szCs w:val="32"/>
        </w:rPr>
      </w:pPr>
      <w:r>
        <w:rPr>
          <w:rFonts w:hint="eastAsia" w:ascii="楷体" w:hAnsi="楷体" w:eastAsia="楷体" w:cs="楷体"/>
          <w:sz w:val="24"/>
          <w:szCs w:val="32"/>
        </w:rPr>
        <w:fldChar w:fldCharType="begin"/>
      </w:r>
      <w:r>
        <w:rPr>
          <w:rFonts w:hint="eastAsia" w:ascii="楷体" w:hAnsi="楷体" w:eastAsia="楷体" w:cs="楷体"/>
          <w:sz w:val="24"/>
          <w:szCs w:val="32"/>
        </w:rPr>
        <w:instrText xml:space="preserve"> HYPERLINK "https://file.todcy.cn/visit/files/gzxc/2025/06/docx/0fade9eca2759070bc172b50dac8d73c/1335054124974112/0fade9eca2759070bc172b50dac8d73c_22733.docx" </w:instrText>
      </w:r>
      <w:r>
        <w:rPr>
          <w:rFonts w:hint="eastAsia" w:ascii="楷体" w:hAnsi="楷体" w:eastAsia="楷体" w:cs="楷体"/>
          <w:sz w:val="24"/>
          <w:szCs w:val="32"/>
        </w:rPr>
        <w:fldChar w:fldCharType="separate"/>
      </w:r>
      <w:r>
        <w:rPr>
          <w:rFonts w:hint="eastAsia" w:ascii="楷体" w:hAnsi="楷体" w:eastAsia="楷体" w:cs="楷体"/>
          <w:sz w:val="24"/>
          <w:szCs w:val="32"/>
        </w:rPr>
        <w:t>2.贵州省首届智库研究“十大金策”遴选活动评审表.docx</w:t>
      </w:r>
      <w:r>
        <w:rPr>
          <w:rFonts w:hint="eastAsia" w:ascii="楷体" w:hAnsi="楷体" w:eastAsia="楷体" w:cs="楷体"/>
          <w:sz w:val="24"/>
          <w:szCs w:val="32"/>
        </w:rPr>
        <w:fldChar w:fldCharType="end"/>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r>
        <w:rPr>
          <w:rFonts w:hint="eastAsia" w:ascii="楷体" w:hAnsi="楷体" w:eastAsia="楷体" w:cs="楷体"/>
          <w:sz w:val="24"/>
          <w:szCs w:val="32"/>
        </w:rPr>
        <w:fldChar w:fldCharType="begin"/>
      </w:r>
      <w:r>
        <w:rPr>
          <w:rFonts w:hint="eastAsia" w:ascii="楷体" w:hAnsi="楷体" w:eastAsia="楷体" w:cs="楷体"/>
          <w:sz w:val="24"/>
          <w:szCs w:val="32"/>
        </w:rPr>
        <w:instrText xml:space="preserve"> HYPERLINK "https://file.todcy.cn/visit/files/gzxc/2025/06/xlsx/35772466dca282e6f9cf5d68ce242e7b/1335054124974112/35772466dca282e6f9cf5d68ce242e7b_14307.xlsx" </w:instrText>
      </w:r>
      <w:r>
        <w:rPr>
          <w:rFonts w:hint="eastAsia" w:ascii="楷体" w:hAnsi="楷体" w:eastAsia="楷体" w:cs="楷体"/>
          <w:sz w:val="24"/>
          <w:szCs w:val="32"/>
        </w:rPr>
        <w:fldChar w:fldCharType="separate"/>
      </w:r>
      <w:r>
        <w:rPr>
          <w:rFonts w:hint="eastAsia" w:ascii="楷体" w:hAnsi="楷体" w:eastAsia="楷体" w:cs="楷体"/>
          <w:sz w:val="24"/>
          <w:szCs w:val="32"/>
        </w:rPr>
        <w:t>3.贵州省首届智库研究“十大金策”申报信息汇总表.xlsx</w:t>
      </w:r>
      <w:r>
        <w:rPr>
          <w:rFonts w:hint="eastAsia" w:ascii="楷体" w:hAnsi="楷体" w:eastAsia="楷体" w:cs="楷体"/>
          <w:sz w:val="24"/>
          <w:szCs w:val="32"/>
        </w:rPr>
        <w:fldChar w:fldCharType="end"/>
      </w:r>
    </w:p>
    <w:p>
      <w:pPr>
        <w:spacing w:line="360" w:lineRule="auto"/>
        <w:rPr>
          <w:rFonts w:hint="eastAsia"/>
          <w:sz w:val="24"/>
          <w:szCs w:val="32"/>
        </w:rPr>
      </w:pPr>
      <w:r>
        <w:rPr>
          <w:rFonts w:hint="eastAsia"/>
          <w:sz w:val="24"/>
          <w:szCs w:val="32"/>
        </w:rPr>
        <w:t>  联 系 人：洪老师，范老师</w:t>
      </w:r>
    </w:p>
    <w:p>
      <w:pPr>
        <w:spacing w:line="360" w:lineRule="auto"/>
        <w:rPr>
          <w:rFonts w:hint="eastAsia"/>
          <w:sz w:val="24"/>
          <w:szCs w:val="32"/>
        </w:rPr>
      </w:pPr>
      <w:r>
        <w:rPr>
          <w:rFonts w:hint="eastAsia"/>
          <w:sz w:val="24"/>
          <w:szCs w:val="32"/>
        </w:rPr>
        <w:t>  联系电话：0851-85892535</w:t>
      </w:r>
    </w:p>
    <w:p>
      <w:pPr>
        <w:spacing w:line="360" w:lineRule="auto"/>
        <w:rPr>
          <w:rFonts w:hint="eastAsia"/>
          <w:sz w:val="24"/>
          <w:szCs w:val="32"/>
        </w:rPr>
      </w:pPr>
    </w:p>
    <w:p>
      <w:pPr>
        <w:spacing w:line="360" w:lineRule="auto"/>
        <w:rPr>
          <w:rFonts w:hint="eastAsia"/>
          <w:sz w:val="24"/>
          <w:szCs w:val="32"/>
        </w:rPr>
      </w:pPr>
    </w:p>
    <w:p>
      <w:pPr>
        <w:spacing w:line="360" w:lineRule="auto"/>
        <w:jc w:val="right"/>
        <w:rPr>
          <w:rFonts w:hint="eastAsia"/>
          <w:sz w:val="24"/>
          <w:szCs w:val="32"/>
        </w:rPr>
      </w:pPr>
      <w:r>
        <w:rPr>
          <w:rFonts w:hint="eastAsia"/>
          <w:sz w:val="24"/>
          <w:szCs w:val="32"/>
        </w:rPr>
        <w:t>  贵州省哲学社会科学规划办公室</w:t>
      </w:r>
    </w:p>
    <w:p>
      <w:pPr>
        <w:spacing w:line="360" w:lineRule="auto"/>
        <w:jc w:val="right"/>
        <w:rPr>
          <w:rFonts w:hint="eastAsia" w:ascii="宋体" w:hAnsi="宋体" w:eastAsia="宋体" w:cs="宋体"/>
          <w:i w:val="0"/>
          <w:iCs w:val="0"/>
          <w:caps w:val="0"/>
          <w:color w:val="000000"/>
          <w:spacing w:val="0"/>
          <w:sz w:val="24"/>
          <w:szCs w:val="24"/>
        </w:rPr>
      </w:pPr>
      <w:r>
        <w:rPr>
          <w:rFonts w:hint="eastAsia"/>
          <w:sz w:val="24"/>
          <w:szCs w:val="32"/>
        </w:rPr>
        <w:t>  2025年6月26日</w:t>
      </w:r>
    </w:p>
    <w:p>
      <w:pPr>
        <w:jc w:val="right"/>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embedRegular r:id="rId1" w:fontKey="{AB2964A7-207E-4791-960B-06B0ECE03BE5}"/>
  </w:font>
  <w:font w:name="方正小标宋简体">
    <w:panose1 w:val="02000000000000000000"/>
    <w:charset w:val="86"/>
    <w:family w:val="auto"/>
    <w:pitch w:val="default"/>
    <w:sig w:usb0="00000001" w:usb1="08000000" w:usb2="00000000" w:usb3="00000000" w:csb0="00040000" w:csb1="00000000"/>
    <w:embedRegular r:id="rId2" w:fontKey="{F200EF73-54AC-48B2-9428-3399CB21EDF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mZWNhZmFlOGJlMDgwYjNlNmJkYzA2NGFmOTkyODUifQ=="/>
  </w:docVars>
  <w:rsids>
    <w:rsidRoot w:val="00000000"/>
    <w:rsid w:val="0FC57C7C"/>
    <w:rsid w:val="3C001E8A"/>
    <w:rsid w:val="427C4CBE"/>
    <w:rsid w:val="55C474C6"/>
    <w:rsid w:val="57350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50" w:beforeLines="50" w:beforeAutospacing="0" w:after="0" w:afterLines="0" w:afterAutospacing="0" w:line="360" w:lineRule="auto"/>
      <w:ind w:firstLine="643" w:firstLineChars="200"/>
      <w:outlineLvl w:val="1"/>
    </w:pPr>
    <w:rPr>
      <w:rFonts w:ascii="Arial" w:hAnsi="Arial" w:eastAsia="黑体"/>
      <w:b/>
      <w:sz w:val="28"/>
    </w:rPr>
  </w:style>
  <w:style w:type="paragraph" w:styleId="3">
    <w:name w:val="heading 4"/>
    <w:basedOn w:val="1"/>
    <w:next w:val="1"/>
    <w:link w:val="9"/>
    <w:semiHidden/>
    <w:unhideWhenUsed/>
    <w:qFormat/>
    <w:uiPriority w:val="0"/>
    <w:pPr>
      <w:keepNext/>
      <w:keepLines/>
      <w:spacing w:before="0" w:beforeLines="0" w:beforeAutospacing="0" w:after="0" w:afterLines="0" w:afterAutospacing="0" w:line="360" w:lineRule="auto"/>
      <w:outlineLvl w:val="3"/>
    </w:pPr>
    <w:rPr>
      <w:rFonts w:ascii="Arial" w:hAnsi="Arial" w:eastAsia="黑体" w:cs="Times New Roman"/>
      <w:b/>
      <w:sz w:val="28"/>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 w:type="character" w:customStyle="1" w:styleId="9">
    <w:name w:val="标题 4 Char"/>
    <w:link w:val="3"/>
    <w:uiPriority w:val="0"/>
    <w:rPr>
      <w:rFonts w:ascii="Arial" w:hAnsi="Arial" w:eastAsia="黑体" w:cs="Times New Roman"/>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113</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2024-09-22T09:41:00Z</dcterms:created>
  <dc:creator>lenovo</dc:creator>
  <cp:lastModifiedBy>赵元梁</cp:lastModifiedBy>
  <dcterms:modified xsi:type="dcterms:W3CDTF">2025-06-27T08:42:12Z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49B89D42A9D845BABA3B3624C9C1E2C3_12</vt:lpwstr>
  </property>
</Properties>
</file>